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92FA" w14:textId="493C2F50" w:rsidR="00A746CE" w:rsidRDefault="00A746CE" w:rsidP="00A746CE">
      <w:pPr>
        <w:pStyle w:val="Heading214pt"/>
      </w:pPr>
      <w:r>
        <w:t xml:space="preserve">Attachment A: </w:t>
      </w:r>
      <w:r w:rsidR="007C24F8">
        <w:t xml:space="preserve">GP Clinic </w:t>
      </w:r>
      <w:r>
        <w:t>Assessment Criteria</w:t>
      </w:r>
    </w:p>
    <w:tbl>
      <w:tblPr>
        <w:tblStyle w:val="TableGrid"/>
        <w:tblW w:w="10627" w:type="dxa"/>
        <w:tblLook w:val="04A0" w:firstRow="1" w:lastRow="0" w:firstColumn="1" w:lastColumn="0" w:noHBand="0" w:noVBand="1"/>
      </w:tblPr>
      <w:tblGrid>
        <w:gridCol w:w="1980"/>
        <w:gridCol w:w="8647"/>
      </w:tblGrid>
      <w:tr w:rsidR="00440D6B" w14:paraId="54DCA05E" w14:textId="77777777" w:rsidTr="00784CCE">
        <w:tc>
          <w:tcPr>
            <w:tcW w:w="1980" w:type="dxa"/>
          </w:tcPr>
          <w:p w14:paraId="022386B8" w14:textId="77777777" w:rsidR="00440D6B" w:rsidRPr="000C5FD0" w:rsidRDefault="00440D6B" w:rsidP="005C355E">
            <w:pPr>
              <w:rPr>
                <w:b/>
                <w:bCs/>
              </w:rPr>
            </w:pPr>
            <w:r w:rsidRPr="000C5FD0">
              <w:rPr>
                <w:b/>
                <w:bCs/>
              </w:rPr>
              <w:t>Proposed assessment criteria</w:t>
            </w:r>
          </w:p>
        </w:tc>
        <w:tc>
          <w:tcPr>
            <w:tcW w:w="8647" w:type="dxa"/>
          </w:tcPr>
          <w:p w14:paraId="27F3F3CC" w14:textId="77777777" w:rsidR="00440D6B" w:rsidRPr="000C5FD0" w:rsidRDefault="00440D6B" w:rsidP="005C355E">
            <w:pPr>
              <w:rPr>
                <w:b/>
                <w:bCs/>
              </w:rPr>
            </w:pPr>
            <w:r w:rsidRPr="000C5FD0">
              <w:rPr>
                <w:b/>
                <w:bCs/>
              </w:rPr>
              <w:t>Type of information sought</w:t>
            </w:r>
          </w:p>
        </w:tc>
      </w:tr>
      <w:tr w:rsidR="00440D6B" w14:paraId="27AACFE1" w14:textId="77777777" w:rsidTr="00784CCE">
        <w:tc>
          <w:tcPr>
            <w:tcW w:w="1980" w:type="dxa"/>
            <w:vAlign w:val="center"/>
          </w:tcPr>
          <w:p w14:paraId="2F011D07" w14:textId="77777777" w:rsidR="00440D6B" w:rsidRDefault="00440D6B" w:rsidP="005C355E">
            <w:pPr>
              <w:jc w:val="center"/>
            </w:pPr>
            <w:r w:rsidRPr="000C5FD0">
              <w:t>Practice details</w:t>
            </w:r>
          </w:p>
        </w:tc>
        <w:tc>
          <w:tcPr>
            <w:tcW w:w="8647" w:type="dxa"/>
          </w:tcPr>
          <w:p w14:paraId="58C35814" w14:textId="77777777" w:rsidR="00440D6B" w:rsidRDefault="00440D6B" w:rsidP="005C355E">
            <w:r w:rsidRPr="000C5FD0">
              <w:t xml:space="preserve">General details about the GP practice, focus on women’s health, existing infrastructure, estimated patient catchment area of the identified location (including outreach and patient demographics e.g. CALD, Indigenous, gender, age range), socioeconomic (SEIFA) status of the area, Modified Monash Model (MMM), the number of requesting practitioners available and other key available medical services. </w:t>
            </w:r>
          </w:p>
          <w:p w14:paraId="5D15B6D2" w14:textId="77777777" w:rsidR="00440D6B" w:rsidRDefault="00440D6B" w:rsidP="005C355E">
            <w:r w:rsidRPr="000C5FD0">
              <w:t xml:space="preserve">Demonstrated capacity and willingness to accept new patients evidenced by a GP-led multidisciplinary team with expertise in the management of endometriosis and pelvic pain, and perimenopause and menopause symptoms. </w:t>
            </w:r>
          </w:p>
          <w:p w14:paraId="798D07F2" w14:textId="77777777" w:rsidR="00440D6B" w:rsidRDefault="00440D6B" w:rsidP="005C355E">
            <w:r w:rsidRPr="000C5FD0">
              <w:t xml:space="preserve">Processes for triaging patients referred from other GP practices should be evidenced, including continuity of care records to primary GP. </w:t>
            </w:r>
          </w:p>
          <w:p w14:paraId="111D18DC" w14:textId="77777777" w:rsidR="00440D6B" w:rsidRDefault="00440D6B" w:rsidP="005C355E">
            <w:r w:rsidRPr="000C5FD0">
              <w:t xml:space="preserve">Demonstration of scalability of the GP practice to meet potential increase in demand. </w:t>
            </w:r>
          </w:p>
          <w:p w14:paraId="136BBFD3" w14:textId="77777777" w:rsidR="00440D6B" w:rsidRDefault="00440D6B" w:rsidP="005C355E">
            <w:r w:rsidRPr="000C5FD0">
              <w:t>The GP practice is an accredited practice against RACGP standards and has the relevant insurance.</w:t>
            </w:r>
          </w:p>
        </w:tc>
      </w:tr>
      <w:tr w:rsidR="00440D6B" w14:paraId="5A3FFC00" w14:textId="77777777" w:rsidTr="00784CCE">
        <w:tc>
          <w:tcPr>
            <w:tcW w:w="1980" w:type="dxa"/>
            <w:vAlign w:val="center"/>
          </w:tcPr>
          <w:p w14:paraId="5EF5B67D" w14:textId="77777777" w:rsidR="00440D6B" w:rsidRDefault="00440D6B" w:rsidP="005C355E">
            <w:pPr>
              <w:jc w:val="center"/>
            </w:pPr>
            <w:r w:rsidRPr="000C5FD0">
              <w:t>Practice capability</w:t>
            </w:r>
          </w:p>
        </w:tc>
        <w:tc>
          <w:tcPr>
            <w:tcW w:w="8647" w:type="dxa"/>
          </w:tcPr>
          <w:p w14:paraId="1366CBC1" w14:textId="77777777" w:rsidR="00440D6B" w:rsidRDefault="00440D6B" w:rsidP="005C355E">
            <w:r w:rsidRPr="000C5FD0">
              <w:t xml:space="preserve">The capability of the GP practice to accommodate and demonstrate: </w:t>
            </w:r>
          </w:p>
          <w:p w14:paraId="69A365A1" w14:textId="77777777" w:rsidR="00440D6B" w:rsidRDefault="00440D6B" w:rsidP="00440D6B">
            <w:pPr>
              <w:pStyle w:val="ListParagraph"/>
              <w:numPr>
                <w:ilvl w:val="0"/>
                <w:numId w:val="2"/>
              </w:numPr>
              <w:spacing w:after="0"/>
            </w:pPr>
            <w:r w:rsidRPr="000C5FD0">
              <w:t>Geographical reach</w:t>
            </w:r>
          </w:p>
          <w:p w14:paraId="3C7ECC5F" w14:textId="77777777" w:rsidR="00440D6B" w:rsidRDefault="00440D6B" w:rsidP="005C355E">
            <w:pPr>
              <w:pStyle w:val="ListParagraph"/>
              <w:numPr>
                <w:ilvl w:val="0"/>
                <w:numId w:val="2"/>
              </w:numPr>
              <w:spacing w:after="0"/>
            </w:pPr>
            <w:r w:rsidRPr="000C5FD0">
              <w:t xml:space="preserve">Patient volumes to warrant specific investment in the clinic </w:t>
            </w:r>
          </w:p>
          <w:p w14:paraId="67732E27" w14:textId="77777777" w:rsidR="00440D6B" w:rsidRDefault="00440D6B" w:rsidP="00440D6B">
            <w:pPr>
              <w:pStyle w:val="ListParagraph"/>
              <w:numPr>
                <w:ilvl w:val="0"/>
                <w:numId w:val="2"/>
              </w:numPr>
              <w:spacing w:after="0"/>
            </w:pPr>
            <w:r w:rsidRPr="000C5FD0">
              <w:t xml:space="preserve">Women-led care, acknowledging that many women prefer to see a female practitioner </w:t>
            </w:r>
          </w:p>
          <w:p w14:paraId="48BE7F9C" w14:textId="77777777" w:rsidR="00440D6B" w:rsidRDefault="00440D6B" w:rsidP="005C355E">
            <w:pPr>
              <w:pStyle w:val="ListParagraph"/>
              <w:numPr>
                <w:ilvl w:val="0"/>
                <w:numId w:val="2"/>
              </w:numPr>
              <w:spacing w:after="0"/>
            </w:pPr>
            <w:r w:rsidRPr="000C5FD0">
              <w:t xml:space="preserve">Cultural competency and support for priority populations – e.g. First Nations people, culturally and linguistically diverse (CALD) communities, people from low socioeconomic backgrounds and people with diverse sexual orientation, gender identity or sex characteristics. </w:t>
            </w:r>
          </w:p>
          <w:p w14:paraId="4F325DA9" w14:textId="77777777" w:rsidR="00440D6B" w:rsidRDefault="00440D6B" w:rsidP="005C355E">
            <w:pPr>
              <w:pStyle w:val="ListParagraph"/>
              <w:numPr>
                <w:ilvl w:val="0"/>
                <w:numId w:val="2"/>
              </w:numPr>
              <w:spacing w:after="0"/>
            </w:pPr>
            <w:r w:rsidRPr="000C5FD0">
              <w:t>The provision of affordable patient support services via varying means including by bulk billing.</w:t>
            </w:r>
          </w:p>
        </w:tc>
      </w:tr>
      <w:tr w:rsidR="00440D6B" w14:paraId="5BD806BF" w14:textId="77777777" w:rsidTr="00784CCE">
        <w:tc>
          <w:tcPr>
            <w:tcW w:w="1980" w:type="dxa"/>
            <w:vAlign w:val="center"/>
          </w:tcPr>
          <w:p w14:paraId="63B38382" w14:textId="77777777" w:rsidR="00440D6B" w:rsidRDefault="00440D6B" w:rsidP="005C355E">
            <w:pPr>
              <w:jc w:val="center"/>
            </w:pPr>
            <w:r w:rsidRPr="000C5FD0">
              <w:t>Core Services Provided</w:t>
            </w:r>
          </w:p>
        </w:tc>
        <w:tc>
          <w:tcPr>
            <w:tcW w:w="8647" w:type="dxa"/>
          </w:tcPr>
          <w:p w14:paraId="78C90790" w14:textId="77777777" w:rsidR="00440D6B" w:rsidRDefault="00440D6B" w:rsidP="005C355E">
            <w:r w:rsidRPr="000C5FD0">
              <w:t xml:space="preserve">Demonstrate capability to provide endometriosis and pelvic pain diagnosis, treatment, management, referral and support. </w:t>
            </w:r>
          </w:p>
          <w:p w14:paraId="0E7F412C" w14:textId="77777777" w:rsidR="00440D6B" w:rsidRDefault="00440D6B" w:rsidP="005C355E">
            <w:r w:rsidRPr="000C5FD0">
              <w:t xml:space="preserve">Demonstrate capability to provide care, treatment, management, referral and support for perimenopause and menopause symptoms. </w:t>
            </w:r>
          </w:p>
          <w:p w14:paraId="24D309E4" w14:textId="77777777" w:rsidR="00440D6B" w:rsidRDefault="00440D6B" w:rsidP="005C355E">
            <w:pPr>
              <w:spacing w:after="0"/>
            </w:pPr>
            <w:r w:rsidRPr="000C5FD0">
              <w:t xml:space="preserve">At a minimum, GP practices must be able to demonstrate access, or ability to gain access, to some or all the following services and resources, as needed for each patient: </w:t>
            </w:r>
          </w:p>
          <w:p w14:paraId="4F2F379C" w14:textId="77777777" w:rsidR="00440D6B" w:rsidRDefault="00440D6B" w:rsidP="00440D6B">
            <w:pPr>
              <w:pStyle w:val="ListParagraph"/>
              <w:numPr>
                <w:ilvl w:val="0"/>
                <w:numId w:val="3"/>
              </w:numPr>
              <w:spacing w:after="0"/>
            </w:pPr>
            <w:r w:rsidRPr="000C5FD0">
              <w:t>GPs specialising in women’s health and pain management, including contraceptive advice and onsite insertion of Long-Acting Reversible Contraception (LARC) if required.</w:t>
            </w:r>
          </w:p>
          <w:p w14:paraId="617535F5" w14:textId="77777777" w:rsidR="00440D6B" w:rsidRDefault="00440D6B" w:rsidP="00440D6B">
            <w:pPr>
              <w:pStyle w:val="ListParagraph"/>
              <w:numPr>
                <w:ilvl w:val="0"/>
                <w:numId w:val="3"/>
              </w:numPr>
              <w:spacing w:after="0"/>
            </w:pPr>
            <w:r w:rsidRPr="000C5FD0">
              <w:t>Practice nurses / nurse practitioners who specialise in women’s health</w:t>
            </w:r>
          </w:p>
          <w:p w14:paraId="68A3F37C" w14:textId="77777777" w:rsidR="00440D6B" w:rsidRDefault="00440D6B" w:rsidP="00440D6B">
            <w:pPr>
              <w:pStyle w:val="ListParagraph"/>
              <w:numPr>
                <w:ilvl w:val="0"/>
                <w:numId w:val="3"/>
              </w:numPr>
              <w:spacing w:after="0"/>
            </w:pPr>
            <w:r w:rsidRPr="000C5FD0">
              <w:t xml:space="preserve">Allied Health – dietitians, women’s health physiotherapists, social workers, psychologists (either in the clinic or linked to the clinic) </w:t>
            </w:r>
          </w:p>
          <w:p w14:paraId="74C0C312" w14:textId="77777777" w:rsidR="00440D6B" w:rsidRDefault="00440D6B" w:rsidP="00440D6B">
            <w:pPr>
              <w:pStyle w:val="ListParagraph"/>
              <w:numPr>
                <w:ilvl w:val="0"/>
                <w:numId w:val="3"/>
              </w:numPr>
              <w:spacing w:after="0"/>
            </w:pPr>
            <w:r>
              <w:t>E</w:t>
            </w:r>
            <w:r w:rsidRPr="000C5FD0">
              <w:t>ducators and self-management resources</w:t>
            </w:r>
          </w:p>
          <w:p w14:paraId="22088061" w14:textId="77777777" w:rsidR="00440D6B" w:rsidRDefault="00440D6B" w:rsidP="00440D6B">
            <w:pPr>
              <w:pStyle w:val="ListParagraph"/>
              <w:numPr>
                <w:ilvl w:val="0"/>
                <w:numId w:val="3"/>
              </w:numPr>
              <w:spacing w:after="0"/>
            </w:pPr>
            <w:r w:rsidRPr="000C5FD0">
              <w:t>Community support groups or networks, including peer support or bicultural health workers where appropriate</w:t>
            </w:r>
          </w:p>
          <w:p w14:paraId="3B31C003" w14:textId="77777777" w:rsidR="00440D6B" w:rsidRDefault="00440D6B" w:rsidP="00440D6B">
            <w:pPr>
              <w:pStyle w:val="ListParagraph"/>
              <w:numPr>
                <w:ilvl w:val="0"/>
                <w:numId w:val="3"/>
              </w:numPr>
              <w:spacing w:after="0"/>
            </w:pPr>
            <w:r w:rsidRPr="000C5FD0">
              <w:t>Staff to support culturally competent practice or CALD appropriate practice including First Nations health care workers and onsite translation services if required</w:t>
            </w:r>
          </w:p>
          <w:p w14:paraId="7EA00475" w14:textId="77777777" w:rsidR="00440D6B" w:rsidRDefault="00440D6B" w:rsidP="005C355E">
            <w:pPr>
              <w:pStyle w:val="ListParagraph"/>
              <w:numPr>
                <w:ilvl w:val="0"/>
                <w:numId w:val="3"/>
              </w:numPr>
              <w:spacing w:after="0"/>
            </w:pPr>
            <w:r w:rsidRPr="000C5FD0">
              <w:t>Capacity and capability to support training and continuing professional development for GPs, nurses and allied health practitioners</w:t>
            </w:r>
            <w:r>
              <w:t>.</w:t>
            </w:r>
          </w:p>
        </w:tc>
      </w:tr>
      <w:tr w:rsidR="00440D6B" w14:paraId="5C899D86" w14:textId="77777777" w:rsidTr="00784CCE">
        <w:tc>
          <w:tcPr>
            <w:tcW w:w="1980" w:type="dxa"/>
            <w:vAlign w:val="center"/>
          </w:tcPr>
          <w:p w14:paraId="0987AC2D" w14:textId="77777777" w:rsidR="00440D6B" w:rsidRDefault="00440D6B" w:rsidP="005C355E">
            <w:pPr>
              <w:jc w:val="center"/>
            </w:pPr>
            <w:r w:rsidRPr="000C5FD0">
              <w:lastRenderedPageBreak/>
              <w:t>Additional services – to support local community need (not mandatory)</w:t>
            </w:r>
          </w:p>
        </w:tc>
        <w:tc>
          <w:tcPr>
            <w:tcW w:w="8647" w:type="dxa"/>
          </w:tcPr>
          <w:p w14:paraId="34E4E535" w14:textId="77777777" w:rsidR="00440D6B" w:rsidRDefault="00440D6B" w:rsidP="005C355E">
            <w:r w:rsidRPr="007A7707">
              <w:t>Demonstrate capability to provide advice, diagnosis, treatment and management, and support services in the following areas:</w:t>
            </w:r>
          </w:p>
          <w:p w14:paraId="4C39F832" w14:textId="77777777" w:rsidR="00440D6B" w:rsidRDefault="00440D6B" w:rsidP="00440D6B">
            <w:pPr>
              <w:pStyle w:val="ListParagraph"/>
              <w:numPr>
                <w:ilvl w:val="0"/>
                <w:numId w:val="4"/>
              </w:numPr>
              <w:spacing w:after="0"/>
            </w:pPr>
            <w:r w:rsidRPr="007A7707">
              <w:t>Broader sexual and reproductive health services to complement endometriosis and pelvic pain care including management of STIs and preconception advice.</w:t>
            </w:r>
          </w:p>
          <w:p w14:paraId="66F37D1D" w14:textId="77777777" w:rsidR="00440D6B" w:rsidRDefault="00440D6B" w:rsidP="00440D6B">
            <w:pPr>
              <w:pStyle w:val="ListParagraph"/>
              <w:numPr>
                <w:ilvl w:val="0"/>
                <w:numId w:val="4"/>
              </w:numPr>
              <w:spacing w:after="0"/>
            </w:pPr>
            <w:r w:rsidRPr="007A7707">
              <w:t>Infertility support and referral</w:t>
            </w:r>
          </w:p>
          <w:p w14:paraId="2613B168" w14:textId="77777777" w:rsidR="00440D6B" w:rsidRDefault="00440D6B" w:rsidP="005C355E">
            <w:pPr>
              <w:pStyle w:val="ListParagraph"/>
              <w:numPr>
                <w:ilvl w:val="0"/>
                <w:numId w:val="4"/>
              </w:numPr>
              <w:spacing w:after="0"/>
            </w:pPr>
            <w:r w:rsidRPr="007A7707">
              <w:t>Support for patients who have experienced trauma or sexual violence</w:t>
            </w:r>
            <w:r>
              <w:t>.</w:t>
            </w:r>
          </w:p>
        </w:tc>
      </w:tr>
      <w:tr w:rsidR="00440D6B" w14:paraId="52911E8F" w14:textId="77777777" w:rsidTr="00784CCE">
        <w:tc>
          <w:tcPr>
            <w:tcW w:w="1980" w:type="dxa"/>
            <w:vAlign w:val="center"/>
          </w:tcPr>
          <w:p w14:paraId="266D071B" w14:textId="77777777" w:rsidR="00440D6B" w:rsidRPr="000C5FD0" w:rsidRDefault="00440D6B" w:rsidP="005C355E">
            <w:pPr>
              <w:jc w:val="center"/>
            </w:pPr>
            <w:r w:rsidRPr="007A7707">
              <w:t>Referral pathways</w:t>
            </w:r>
          </w:p>
        </w:tc>
        <w:tc>
          <w:tcPr>
            <w:tcW w:w="8647" w:type="dxa"/>
          </w:tcPr>
          <w:p w14:paraId="3FB66017" w14:textId="77777777" w:rsidR="00440D6B" w:rsidRPr="000C5FD0" w:rsidRDefault="00440D6B" w:rsidP="005C355E">
            <w:r w:rsidRPr="000C5FD0">
              <w:t>GP practices must demonstrate established active referral pathways to local and other primary and tertiary care services including Aboriginal Community Controlled Health Services and dedicated women’s health services. This may include but is not limited to specialist gynaecological, radiological, surgical, gastroenterological, endocrinological, paediatric, multidisciplinary pain management, fertility, mentor support (e.g. 1800 Ask Endo) and psychological support services. This may include use of telehealth, where appropriate</w:t>
            </w:r>
          </w:p>
        </w:tc>
      </w:tr>
      <w:tr w:rsidR="00440D6B" w14:paraId="2D7F0653" w14:textId="77777777" w:rsidTr="00784CCE">
        <w:tc>
          <w:tcPr>
            <w:tcW w:w="1980" w:type="dxa"/>
            <w:vAlign w:val="center"/>
          </w:tcPr>
          <w:p w14:paraId="244E2360" w14:textId="77777777" w:rsidR="00440D6B" w:rsidRDefault="00440D6B" w:rsidP="005C355E">
            <w:pPr>
              <w:jc w:val="center"/>
            </w:pPr>
            <w:r w:rsidRPr="000C5FD0">
              <w:t>Education and training</w:t>
            </w:r>
          </w:p>
        </w:tc>
        <w:tc>
          <w:tcPr>
            <w:tcW w:w="8647" w:type="dxa"/>
          </w:tcPr>
          <w:p w14:paraId="64AFE207" w14:textId="77777777" w:rsidR="00440D6B" w:rsidRDefault="00440D6B" w:rsidP="005C355E">
            <w:r w:rsidRPr="000C5FD0">
              <w:t xml:space="preserve">GP practices must demonstrate a commitment to staff education, training and professional development in women’s health, particularly endometriosis, pelvic pain, perimenopause and menopause. For example, the Endometriosis and Pelvic Pain course through the Australian College of Nursing or the Endometriosis Online Learning Resource developed by RANZCOG; Menopause education program training offered by Jean Hailes for Women’s Health; or accredited Menopause Essentials training offered by the Australasian Menopause Society. </w:t>
            </w:r>
          </w:p>
          <w:p w14:paraId="0A88645D" w14:textId="77777777" w:rsidR="00440D6B" w:rsidRDefault="00440D6B" w:rsidP="005C355E">
            <w:r w:rsidRPr="000C5FD0">
              <w:t>GP practices must demonstrate a commitment to support the implementation of ‘train the trainer’ educational programs. This is to include training for the GP, nursing and allied health workforces who are part of the multi-disciplinary care team. Engagement with relevant professional and practitioner support networks will be considered favourably.</w:t>
            </w:r>
          </w:p>
        </w:tc>
      </w:tr>
      <w:tr w:rsidR="00440D6B" w14:paraId="79456AF7" w14:textId="77777777" w:rsidTr="00784CCE">
        <w:tc>
          <w:tcPr>
            <w:tcW w:w="1980" w:type="dxa"/>
            <w:vAlign w:val="center"/>
          </w:tcPr>
          <w:p w14:paraId="7D225D04" w14:textId="77777777" w:rsidR="00440D6B" w:rsidRDefault="00440D6B" w:rsidP="005C355E">
            <w:pPr>
              <w:jc w:val="center"/>
            </w:pPr>
            <w:r w:rsidRPr="000C5FD0">
              <w:t xml:space="preserve">Equipment </w:t>
            </w:r>
            <w:r>
              <w:t>d</w:t>
            </w:r>
            <w:r w:rsidRPr="000C5FD0">
              <w:t>etails</w:t>
            </w:r>
          </w:p>
        </w:tc>
        <w:tc>
          <w:tcPr>
            <w:tcW w:w="8647" w:type="dxa"/>
          </w:tcPr>
          <w:p w14:paraId="2A574B81" w14:textId="77777777" w:rsidR="00440D6B" w:rsidRDefault="00440D6B" w:rsidP="005C355E">
            <w:r w:rsidRPr="000C5FD0">
              <w:t>GP practices must demonstrate they have:</w:t>
            </w:r>
          </w:p>
          <w:p w14:paraId="71F860D0" w14:textId="77777777" w:rsidR="00440D6B" w:rsidRDefault="00440D6B" w:rsidP="00440D6B">
            <w:pPr>
              <w:pStyle w:val="ListParagraph"/>
              <w:numPr>
                <w:ilvl w:val="0"/>
                <w:numId w:val="5"/>
              </w:numPr>
              <w:spacing w:after="0"/>
            </w:pPr>
            <w:r w:rsidRPr="000C5FD0">
              <w:t>Integrated up-to-date IT and data linkage systems</w:t>
            </w:r>
          </w:p>
          <w:p w14:paraId="60A6FA4E" w14:textId="77777777" w:rsidR="00440D6B" w:rsidRDefault="00440D6B" w:rsidP="00440D6B">
            <w:pPr>
              <w:pStyle w:val="ListParagraph"/>
              <w:numPr>
                <w:ilvl w:val="0"/>
                <w:numId w:val="5"/>
              </w:numPr>
              <w:spacing w:after="0"/>
            </w:pPr>
            <w:r w:rsidRPr="000C5FD0">
              <w:t xml:space="preserve">Ability to support </w:t>
            </w:r>
            <w:proofErr w:type="spellStart"/>
            <w:r w:rsidRPr="000C5FD0">
              <w:t>MyHealth</w:t>
            </w:r>
            <w:proofErr w:type="spellEnd"/>
            <w:r w:rsidRPr="000C5FD0">
              <w:t xml:space="preserve"> record upload</w:t>
            </w:r>
          </w:p>
          <w:p w14:paraId="00DD6E29" w14:textId="77777777" w:rsidR="00440D6B" w:rsidRDefault="00440D6B" w:rsidP="00440D6B">
            <w:pPr>
              <w:pStyle w:val="ListParagraph"/>
              <w:numPr>
                <w:ilvl w:val="0"/>
                <w:numId w:val="5"/>
              </w:numPr>
              <w:spacing w:after="0"/>
            </w:pPr>
            <w:r w:rsidRPr="000C5FD0">
              <w:t>Ability to offer telehealth to support those in rural and remote locations</w:t>
            </w:r>
          </w:p>
          <w:p w14:paraId="49D7DCFB" w14:textId="77777777" w:rsidR="00440D6B" w:rsidRDefault="00440D6B" w:rsidP="005C355E">
            <w:pPr>
              <w:pStyle w:val="ListParagraph"/>
              <w:numPr>
                <w:ilvl w:val="0"/>
                <w:numId w:val="5"/>
              </w:numPr>
              <w:spacing w:after="0"/>
            </w:pPr>
            <w:r w:rsidRPr="000C5FD0">
              <w:t>Availability of in-clinic ultrasound, gynaecological examination bed, sufficient multi-disciplinary clinic space.</w:t>
            </w:r>
          </w:p>
        </w:tc>
      </w:tr>
      <w:tr w:rsidR="00440D6B" w14:paraId="1588396E" w14:textId="77777777" w:rsidTr="00784CCE">
        <w:tc>
          <w:tcPr>
            <w:tcW w:w="1980" w:type="dxa"/>
          </w:tcPr>
          <w:p w14:paraId="77256C9B" w14:textId="77777777" w:rsidR="00440D6B" w:rsidRDefault="00440D6B" w:rsidP="00D75488">
            <w:pPr>
              <w:jc w:val="center"/>
            </w:pPr>
            <w:r>
              <w:t>Stakeholder engagement</w:t>
            </w:r>
          </w:p>
        </w:tc>
        <w:tc>
          <w:tcPr>
            <w:tcW w:w="8647" w:type="dxa"/>
          </w:tcPr>
          <w:p w14:paraId="71C45F48" w14:textId="77777777" w:rsidR="00440D6B" w:rsidRDefault="00440D6B" w:rsidP="005C355E">
            <w:r>
              <w:t>GP Practice must demonstrate how it will identify, engage and collaborate with relevant stakeholders to ensure the effective delivery of the grant objectives and outcomes</w:t>
            </w:r>
          </w:p>
        </w:tc>
      </w:tr>
    </w:tbl>
    <w:p w14:paraId="675B94AD" w14:textId="77777777" w:rsidR="00A746CE" w:rsidRDefault="00A746CE" w:rsidP="00A746CE">
      <w:pPr>
        <w:pStyle w:val="Heading214pt"/>
      </w:pPr>
    </w:p>
    <w:p w14:paraId="239D11CD" w14:textId="5BC0B558" w:rsidR="00E55735" w:rsidRDefault="00E55735" w:rsidP="00160BA2"/>
    <w:p w14:paraId="02817125" w14:textId="77777777" w:rsidR="001055C7" w:rsidRPr="00160BA2" w:rsidRDefault="001055C7" w:rsidP="00160BA2"/>
    <w:sectPr w:rsidR="001055C7" w:rsidRPr="00160BA2" w:rsidSect="00331E14">
      <w:headerReference w:type="default" r:id="rId11"/>
      <w:footerReference w:type="default" r:id="rId12"/>
      <w:headerReference w:type="first" r:id="rId13"/>
      <w:footerReference w:type="first" r:id="rId14"/>
      <w:pgSz w:w="11906" w:h="16838"/>
      <w:pgMar w:top="720" w:right="720" w:bottom="720" w:left="720" w:header="16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D64A0" w14:textId="77777777" w:rsidR="00F03278" w:rsidRDefault="00F03278" w:rsidP="006F2915">
      <w:r>
        <w:separator/>
      </w:r>
    </w:p>
  </w:endnote>
  <w:endnote w:type="continuationSeparator" w:id="0">
    <w:p w14:paraId="26289FE7" w14:textId="77777777" w:rsidR="00F03278" w:rsidRDefault="00F03278" w:rsidP="006F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274281448"/>
      <w:docPartObj>
        <w:docPartGallery w:val="Page Numbers (Bottom of Page)"/>
        <w:docPartUnique/>
      </w:docPartObj>
    </w:sdtPr>
    <w:sdtContent>
      <w:sdt>
        <w:sdtPr>
          <w:rPr>
            <w:sz w:val="16"/>
          </w:rPr>
          <w:id w:val="194587846"/>
          <w:docPartObj>
            <w:docPartGallery w:val="Page Numbers (Top of Page)"/>
            <w:docPartUnique/>
          </w:docPartObj>
        </w:sdtPr>
        <w:sdtContent>
          <w:p w14:paraId="332EB14E" w14:textId="4ACE5A34" w:rsidR="00BB1708" w:rsidRPr="002D7C67" w:rsidRDefault="000B66C9" w:rsidP="006F2915">
            <w:pPr>
              <w:rPr>
                <w:sz w:val="16"/>
              </w:rPr>
            </w:pPr>
            <w:r>
              <w:rPr>
                <w:noProof/>
              </w:rPr>
              <w:drawing>
                <wp:anchor distT="0" distB="0" distL="114300" distR="114300" simplePos="0" relativeHeight="251659776" behindDoc="0" locked="0" layoutInCell="1" allowOverlap="1" wp14:anchorId="458F002F" wp14:editId="37B8378C">
                  <wp:simplePos x="0" y="0"/>
                  <wp:positionH relativeFrom="column">
                    <wp:posOffset>6076950</wp:posOffset>
                  </wp:positionH>
                  <wp:positionV relativeFrom="paragraph">
                    <wp:posOffset>-482283</wp:posOffset>
                  </wp:positionV>
                  <wp:extent cx="598714" cy="571500"/>
                  <wp:effectExtent l="0" t="0" r="0" b="0"/>
                  <wp:wrapNone/>
                  <wp:docPr id="1637532610" name="Picture 1" descr="A blue and red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5822" name="Picture 1" descr="A blue and red logo with a check mar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714"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1F0" w:rsidRPr="002D7C67">
              <w:rPr>
                <w:sz w:val="16"/>
              </w:rPr>
              <w:t xml:space="preserve">Brisbane South PHN </w:t>
            </w:r>
            <w:r w:rsidR="007651F0" w:rsidRPr="002D7C67">
              <w:rPr>
                <w:sz w:val="16"/>
              </w:rPr>
              <w:tab/>
            </w:r>
            <w:r w:rsidR="007651F0" w:rsidRPr="002D7C67">
              <w:rPr>
                <w:sz w:val="16"/>
              </w:rPr>
              <w:tab/>
            </w:r>
            <w:r w:rsidR="007651F0" w:rsidRPr="002D7C67">
              <w:rPr>
                <w:sz w:val="16"/>
              </w:rPr>
              <w:tab/>
            </w:r>
            <w:r w:rsidR="007651F0" w:rsidRPr="002D7C67">
              <w:rPr>
                <w:sz w:val="16"/>
              </w:rPr>
              <w:tab/>
            </w:r>
            <w:r w:rsidR="007651F0" w:rsidRPr="002D7C67">
              <w:rPr>
                <w:sz w:val="16"/>
              </w:rPr>
              <w:tab/>
              <w:t xml:space="preserve">    </w:t>
            </w:r>
            <w:r w:rsidR="00BB1708" w:rsidRPr="002D7C67">
              <w:rPr>
                <w:sz w:val="16"/>
              </w:rPr>
              <w:t xml:space="preserve">Page </w:t>
            </w:r>
            <w:r w:rsidR="00BB1708" w:rsidRPr="002D7C67">
              <w:rPr>
                <w:b/>
                <w:bCs/>
                <w:sz w:val="16"/>
              </w:rPr>
              <w:fldChar w:fldCharType="begin"/>
            </w:r>
            <w:r w:rsidR="00BB1708" w:rsidRPr="002D7C67">
              <w:rPr>
                <w:b/>
                <w:bCs/>
                <w:sz w:val="16"/>
              </w:rPr>
              <w:instrText xml:space="preserve"> PAGE </w:instrText>
            </w:r>
            <w:r w:rsidR="00BB1708" w:rsidRPr="002D7C67">
              <w:rPr>
                <w:b/>
                <w:bCs/>
                <w:sz w:val="16"/>
              </w:rPr>
              <w:fldChar w:fldCharType="separate"/>
            </w:r>
            <w:r w:rsidR="00B44905">
              <w:rPr>
                <w:b/>
                <w:bCs/>
                <w:noProof/>
                <w:sz w:val="16"/>
              </w:rPr>
              <w:t>2</w:t>
            </w:r>
            <w:r w:rsidR="00BB1708" w:rsidRPr="002D7C67">
              <w:rPr>
                <w:b/>
                <w:bCs/>
                <w:sz w:val="16"/>
              </w:rPr>
              <w:fldChar w:fldCharType="end"/>
            </w:r>
            <w:r w:rsidR="00BB1708" w:rsidRPr="002D7C67">
              <w:rPr>
                <w:sz w:val="16"/>
              </w:rPr>
              <w:t xml:space="preserve"> of </w:t>
            </w:r>
            <w:r w:rsidR="00BB1708" w:rsidRPr="002D7C67">
              <w:rPr>
                <w:b/>
                <w:bCs/>
                <w:sz w:val="16"/>
              </w:rPr>
              <w:fldChar w:fldCharType="begin"/>
            </w:r>
            <w:r w:rsidR="00BB1708" w:rsidRPr="002D7C67">
              <w:rPr>
                <w:b/>
                <w:bCs/>
                <w:sz w:val="16"/>
              </w:rPr>
              <w:instrText xml:space="preserve"> NUMPAGES  </w:instrText>
            </w:r>
            <w:r w:rsidR="00BB1708" w:rsidRPr="002D7C67">
              <w:rPr>
                <w:b/>
                <w:bCs/>
                <w:sz w:val="16"/>
              </w:rPr>
              <w:fldChar w:fldCharType="separate"/>
            </w:r>
            <w:r w:rsidR="00B44905">
              <w:rPr>
                <w:b/>
                <w:bCs/>
                <w:noProof/>
                <w:sz w:val="16"/>
              </w:rPr>
              <w:t>2</w:t>
            </w:r>
            <w:r w:rsidR="00BB1708" w:rsidRPr="002D7C67">
              <w:rPr>
                <w:b/>
                <w:bCs/>
                <w:sz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1615356"/>
      <w:docPartObj>
        <w:docPartGallery w:val="Page Numbers (Top of Page)"/>
        <w:docPartUnique/>
      </w:docPartObj>
    </w:sdtPr>
    <w:sdtEndPr>
      <w:rPr>
        <w:sz w:val="16"/>
        <w:szCs w:val="16"/>
      </w:rPr>
    </w:sdtEndPr>
    <w:sdtContent>
      <w:p w14:paraId="0A32327C" w14:textId="0054A86F" w:rsidR="00BC21C8" w:rsidRDefault="000B66C9" w:rsidP="00F35453">
        <w:pPr>
          <w:contextualSpacing/>
          <w:jc w:val="center"/>
          <w:rPr>
            <w:sz w:val="16"/>
            <w:szCs w:val="16"/>
          </w:rPr>
        </w:pPr>
        <w:r>
          <w:rPr>
            <w:noProof/>
          </w:rPr>
          <w:drawing>
            <wp:anchor distT="0" distB="0" distL="114300" distR="114300" simplePos="0" relativeHeight="251657728" behindDoc="0" locked="0" layoutInCell="1" allowOverlap="1" wp14:anchorId="11212C8A" wp14:editId="4BBB86FE">
              <wp:simplePos x="0" y="0"/>
              <wp:positionH relativeFrom="column">
                <wp:posOffset>6043069</wp:posOffset>
              </wp:positionH>
              <wp:positionV relativeFrom="paragraph">
                <wp:posOffset>29528</wp:posOffset>
              </wp:positionV>
              <wp:extent cx="598714" cy="571500"/>
              <wp:effectExtent l="0" t="0" r="0" b="0"/>
              <wp:wrapNone/>
              <wp:docPr id="533585524" name="Picture 1" descr="A blue and red logo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75822" name="Picture 1" descr="A blue and red logo with a check mark&#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662" cy="574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471" w:rsidRPr="004826C9">
          <w:rPr>
            <w:sz w:val="16"/>
            <w:szCs w:val="16"/>
          </w:rPr>
          <w:t xml:space="preserve">First </w:t>
        </w:r>
        <w:r w:rsidR="00032FE7">
          <w:rPr>
            <w:sz w:val="16"/>
            <w:szCs w:val="16"/>
          </w:rPr>
          <w:t>F</w:t>
        </w:r>
        <w:r w:rsidR="001E7471" w:rsidRPr="004826C9">
          <w:rPr>
            <w:sz w:val="16"/>
            <w:szCs w:val="16"/>
          </w:rPr>
          <w:t xml:space="preserve">loor, Building 20, Garden City Office Park, 2404 Logan Road, Eight Mile Plains QLD 4113 </w:t>
        </w:r>
        <w:r w:rsidR="00303836">
          <w:rPr>
            <w:sz w:val="16"/>
            <w:szCs w:val="16"/>
          </w:rPr>
          <w:br/>
        </w:r>
        <w:r w:rsidR="001E7471" w:rsidRPr="004826C9">
          <w:rPr>
            <w:sz w:val="16"/>
            <w:szCs w:val="16"/>
          </w:rPr>
          <w:t>PO Box 6435, Upper Mt Gravatt QLD 412</w:t>
        </w:r>
        <w:r w:rsidR="00BE2294">
          <w:rPr>
            <w:sz w:val="16"/>
            <w:szCs w:val="16"/>
          </w:rPr>
          <w:t>2</w:t>
        </w:r>
        <w:r w:rsidR="00452C45">
          <w:rPr>
            <w:sz w:val="16"/>
            <w:szCs w:val="16"/>
          </w:rPr>
          <w:t xml:space="preserve"> </w:t>
        </w:r>
        <w:r w:rsidR="00F35453">
          <w:rPr>
            <w:sz w:val="16"/>
            <w:szCs w:val="16"/>
          </w:rPr>
          <w:t>| ABN 53 151 707 765</w:t>
        </w:r>
      </w:p>
      <w:p w14:paraId="764276E5" w14:textId="77777777" w:rsidR="003212DF" w:rsidRDefault="00303836" w:rsidP="004826C9">
        <w:pPr>
          <w:jc w:val="center"/>
          <w:rPr>
            <w:b/>
            <w:bCs/>
            <w:sz w:val="16"/>
            <w:szCs w:val="16"/>
          </w:rPr>
        </w:pPr>
        <w:r w:rsidRPr="00F35453">
          <w:rPr>
            <w:sz w:val="16"/>
            <w:szCs w:val="16"/>
          </w:rPr>
          <w:t xml:space="preserve">T: </w:t>
        </w:r>
        <w:r w:rsidR="00F35453" w:rsidRPr="00F35453">
          <w:rPr>
            <w:sz w:val="16"/>
            <w:szCs w:val="16"/>
          </w:rPr>
          <w:t xml:space="preserve">(07) </w:t>
        </w:r>
        <w:r w:rsidRPr="00F35453">
          <w:rPr>
            <w:sz w:val="16"/>
            <w:szCs w:val="16"/>
          </w:rPr>
          <w:t xml:space="preserve">3864 7555 or 1300 467 265 </w:t>
        </w:r>
        <w:r w:rsidR="00F35453" w:rsidRPr="00F35453">
          <w:rPr>
            <w:sz w:val="16"/>
            <w:szCs w:val="16"/>
          </w:rPr>
          <w:t>|</w:t>
        </w:r>
        <w:r w:rsidRPr="00F35453">
          <w:rPr>
            <w:sz w:val="16"/>
            <w:szCs w:val="16"/>
          </w:rPr>
          <w:t xml:space="preserve"> bsphn.org.au</w:t>
        </w:r>
        <w:r w:rsidR="00452C45">
          <w:rPr>
            <w:sz w:val="16"/>
            <w:szCs w:val="16"/>
          </w:rPr>
          <w:br/>
        </w:r>
        <w:r w:rsidR="001E7471" w:rsidRPr="004826C9">
          <w:rPr>
            <w:sz w:val="16"/>
            <w:szCs w:val="16"/>
          </w:rPr>
          <w:t xml:space="preserve">Page </w:t>
        </w:r>
        <w:r w:rsidR="001E7471" w:rsidRPr="004826C9">
          <w:rPr>
            <w:b/>
            <w:bCs/>
            <w:sz w:val="16"/>
            <w:szCs w:val="16"/>
          </w:rPr>
          <w:fldChar w:fldCharType="begin"/>
        </w:r>
        <w:r w:rsidR="001E7471" w:rsidRPr="004826C9">
          <w:rPr>
            <w:b/>
            <w:bCs/>
            <w:sz w:val="16"/>
            <w:szCs w:val="16"/>
          </w:rPr>
          <w:instrText xml:space="preserve"> PAGE </w:instrText>
        </w:r>
        <w:r w:rsidR="001E7471" w:rsidRPr="004826C9">
          <w:rPr>
            <w:b/>
            <w:bCs/>
            <w:sz w:val="16"/>
            <w:szCs w:val="16"/>
          </w:rPr>
          <w:fldChar w:fldCharType="separate"/>
        </w:r>
        <w:r w:rsidR="00BE2294">
          <w:rPr>
            <w:b/>
            <w:bCs/>
            <w:noProof/>
            <w:sz w:val="16"/>
            <w:szCs w:val="16"/>
          </w:rPr>
          <w:t>1</w:t>
        </w:r>
        <w:r w:rsidR="001E7471" w:rsidRPr="004826C9">
          <w:rPr>
            <w:b/>
            <w:bCs/>
            <w:sz w:val="16"/>
            <w:szCs w:val="16"/>
          </w:rPr>
          <w:fldChar w:fldCharType="end"/>
        </w:r>
        <w:r w:rsidR="001E7471" w:rsidRPr="004826C9">
          <w:rPr>
            <w:sz w:val="16"/>
            <w:szCs w:val="16"/>
          </w:rPr>
          <w:t xml:space="preserve"> of </w:t>
        </w:r>
        <w:r w:rsidR="001E7471" w:rsidRPr="004826C9">
          <w:rPr>
            <w:b/>
            <w:bCs/>
            <w:sz w:val="16"/>
            <w:szCs w:val="16"/>
          </w:rPr>
          <w:fldChar w:fldCharType="begin"/>
        </w:r>
        <w:r w:rsidR="001E7471" w:rsidRPr="004826C9">
          <w:rPr>
            <w:b/>
            <w:bCs/>
            <w:sz w:val="16"/>
            <w:szCs w:val="16"/>
          </w:rPr>
          <w:instrText xml:space="preserve"> NUMPAGES  </w:instrText>
        </w:r>
        <w:r w:rsidR="001E7471" w:rsidRPr="004826C9">
          <w:rPr>
            <w:b/>
            <w:bCs/>
            <w:sz w:val="16"/>
            <w:szCs w:val="16"/>
          </w:rPr>
          <w:fldChar w:fldCharType="separate"/>
        </w:r>
        <w:r w:rsidR="00BE2294">
          <w:rPr>
            <w:b/>
            <w:bCs/>
            <w:noProof/>
            <w:sz w:val="16"/>
            <w:szCs w:val="16"/>
          </w:rPr>
          <w:t>1</w:t>
        </w:r>
        <w:r w:rsidR="001E7471" w:rsidRPr="004826C9">
          <w:rPr>
            <w:b/>
            <w:bCs/>
            <w:sz w:val="16"/>
            <w:szCs w:val="16"/>
          </w:rPr>
          <w:fldChar w:fldCharType="end"/>
        </w:r>
      </w:p>
      <w:p w14:paraId="664DE358" w14:textId="478C8E78" w:rsidR="001E7471" w:rsidRPr="004826C9" w:rsidRDefault="00000000" w:rsidP="004826C9">
        <w:pPr>
          <w:jc w:val="center"/>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33D6" w14:textId="77777777" w:rsidR="00F03278" w:rsidRDefault="00F03278" w:rsidP="006F2915">
      <w:r>
        <w:separator/>
      </w:r>
    </w:p>
  </w:footnote>
  <w:footnote w:type="continuationSeparator" w:id="0">
    <w:p w14:paraId="4B094E90" w14:textId="77777777" w:rsidR="00F03278" w:rsidRDefault="00F03278" w:rsidP="006F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8D9F" w14:textId="6A0CAC8D" w:rsidR="001F59E5" w:rsidRPr="006A193C" w:rsidRDefault="00331E14" w:rsidP="00984F8D">
    <w:pPr>
      <w:jc w:val="center"/>
      <w:rPr>
        <w:sz w:val="36"/>
        <w:szCs w:val="36"/>
      </w:rPr>
    </w:pPr>
    <w:r w:rsidRPr="006A193C">
      <w:rPr>
        <w:noProof/>
        <w:sz w:val="36"/>
        <w:szCs w:val="36"/>
      </w:rPr>
      <w:drawing>
        <wp:anchor distT="0" distB="0" distL="114300" distR="114300" simplePos="0" relativeHeight="251671552" behindDoc="0" locked="0" layoutInCell="1" allowOverlap="1" wp14:anchorId="772CDA39" wp14:editId="576E58DE">
          <wp:simplePos x="0" y="0"/>
          <wp:positionH relativeFrom="margin">
            <wp:align>center</wp:align>
          </wp:positionH>
          <wp:positionV relativeFrom="paragraph">
            <wp:posOffset>-1002665</wp:posOffset>
          </wp:positionV>
          <wp:extent cx="3686175" cy="756285"/>
          <wp:effectExtent l="0" t="0" r="9525" b="5715"/>
          <wp:wrapNone/>
          <wp:docPr id="1105116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35679"/>
                  <a:stretch/>
                </pic:blipFill>
                <pic:spPr bwMode="auto">
                  <a:xfrm>
                    <a:off x="0" y="0"/>
                    <a:ext cx="3686175" cy="756285"/>
                  </a:xfrm>
                  <a:prstGeom prst="rect">
                    <a:avLst/>
                  </a:prstGeom>
                  <a:noFill/>
                  <a:ln>
                    <a:noFill/>
                  </a:ln>
                  <a:extLst>
                    <a:ext uri="{53640926-AAD7-44D8-BBD7-CCE9431645EC}">
                      <a14:shadowObscured xmlns:a14="http://schemas.microsoft.com/office/drawing/2010/main"/>
                    </a:ext>
                  </a:extLst>
                </pic:spPr>
              </pic:pic>
            </a:graphicData>
          </a:graphic>
        </wp:anchor>
      </w:drawing>
    </w:r>
    <w:r w:rsidRPr="006A193C">
      <w:rPr>
        <w:noProof/>
        <w:sz w:val="36"/>
        <w:szCs w:val="36"/>
      </w:rPr>
      <w:drawing>
        <wp:anchor distT="0" distB="0" distL="114300" distR="114300" simplePos="0" relativeHeight="251666432" behindDoc="0" locked="0" layoutInCell="1" allowOverlap="1" wp14:anchorId="7DDCD2DF" wp14:editId="77725BD4">
          <wp:simplePos x="0" y="0"/>
          <wp:positionH relativeFrom="column">
            <wp:posOffset>-2505663</wp:posOffset>
          </wp:positionH>
          <wp:positionV relativeFrom="paragraph">
            <wp:posOffset>-1988185</wp:posOffset>
          </wp:positionV>
          <wp:extent cx="4860925" cy="2012315"/>
          <wp:effectExtent l="0" t="88900" r="28575" b="19685"/>
          <wp:wrapNone/>
          <wp:docPr id="208124634"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F8D" w:rsidRPr="006A193C">
      <w:rPr>
        <w:rStyle w:val="normaltextrun"/>
        <w:rFonts w:ascii="Calibri" w:hAnsi="Calibri" w:cs="Calibri"/>
        <w:b/>
        <w:bCs/>
        <w:color w:val="3BC9D7"/>
        <w:sz w:val="36"/>
        <w:szCs w:val="36"/>
        <w:shd w:val="clear" w:color="auto" w:fill="FFFFFF"/>
        <w:lang w:val="en-GB"/>
      </w:rPr>
      <w:t>Endometriosis and Pelvic Pain</w:t>
    </w:r>
    <w:r w:rsidR="00952957">
      <w:rPr>
        <w:rStyle w:val="normaltextrun"/>
        <w:rFonts w:ascii="Calibri" w:hAnsi="Calibri" w:cs="Calibri"/>
        <w:b/>
        <w:bCs/>
        <w:color w:val="3BC9D7"/>
        <w:sz w:val="36"/>
        <w:szCs w:val="36"/>
        <w:shd w:val="clear" w:color="auto" w:fill="FFFFFF"/>
        <w:lang w:val="en-GB"/>
      </w:rPr>
      <w:t xml:space="preserve"> </w:t>
    </w:r>
    <w:r w:rsidR="00984F8D" w:rsidRPr="006A193C">
      <w:rPr>
        <w:rStyle w:val="normaltextrun"/>
        <w:rFonts w:ascii="Calibri" w:hAnsi="Calibri" w:cs="Calibri"/>
        <w:b/>
        <w:bCs/>
        <w:color w:val="3BC9D7"/>
        <w:sz w:val="36"/>
        <w:szCs w:val="36"/>
        <w:shd w:val="clear" w:color="auto" w:fill="FFFFFF"/>
        <w:lang w:val="en-GB"/>
      </w:rPr>
      <w:t>Clinics </w:t>
    </w:r>
    <w:r w:rsidR="00984F8D" w:rsidRPr="006A193C">
      <w:rPr>
        <w:rStyle w:val="eop"/>
        <w:rFonts w:ascii="Calibri" w:hAnsi="Calibri" w:cs="Calibri"/>
        <w:b/>
        <w:bCs/>
        <w:color w:val="3BC9D7"/>
        <w:sz w:val="36"/>
        <w:szCs w:val="36"/>
        <w:shd w:val="clear" w:color="auto" w:fill="FFFFFF"/>
      </w:rPr>
      <w:t> </w:t>
    </w:r>
    <w:r w:rsidR="009A070E" w:rsidRPr="006A193C">
      <w:rPr>
        <w:noProof/>
        <w:sz w:val="36"/>
        <w:szCs w:val="36"/>
      </w:rPr>
      <w:drawing>
        <wp:anchor distT="0" distB="0" distL="114300" distR="114300" simplePos="0" relativeHeight="251670528" behindDoc="0" locked="0" layoutInCell="1" allowOverlap="1" wp14:anchorId="0CEC14BF" wp14:editId="439D831D">
          <wp:simplePos x="0" y="0"/>
          <wp:positionH relativeFrom="column">
            <wp:posOffset>1181100</wp:posOffset>
          </wp:positionH>
          <wp:positionV relativeFrom="paragraph">
            <wp:posOffset>-745490</wp:posOffset>
          </wp:positionV>
          <wp:extent cx="3190875" cy="756285"/>
          <wp:effectExtent l="0" t="0" r="0" b="0"/>
          <wp:wrapNone/>
          <wp:docPr id="1840137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124" t="105794" r="59445" b="-105794"/>
                  <a:stretch/>
                </pic:blipFill>
                <pic:spPr bwMode="auto">
                  <a:xfrm>
                    <a:off x="0" y="0"/>
                    <a:ext cx="3190875"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D2F0F" w:rsidRPr="006A193C">
      <w:rPr>
        <w:noProof/>
        <w:sz w:val="36"/>
        <w:szCs w:val="36"/>
      </w:rPr>
      <w:drawing>
        <wp:anchor distT="0" distB="0" distL="114300" distR="114300" simplePos="0" relativeHeight="251667456" behindDoc="0" locked="0" layoutInCell="1" allowOverlap="1" wp14:anchorId="6447C748" wp14:editId="0C281BC7">
          <wp:simplePos x="0" y="0"/>
          <wp:positionH relativeFrom="margin">
            <wp:posOffset>5210810</wp:posOffset>
          </wp:positionH>
          <wp:positionV relativeFrom="margin">
            <wp:posOffset>-1569085</wp:posOffset>
          </wp:positionV>
          <wp:extent cx="1367790" cy="910590"/>
          <wp:effectExtent l="0" t="0" r="0" b="0"/>
          <wp:wrapNone/>
          <wp:docPr id="990220978"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79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2EB3F" w14:textId="3413F323" w:rsidR="001F59E5" w:rsidRPr="002D7C67" w:rsidRDefault="001F59E5" w:rsidP="006F2915">
    <w:pP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36DC" w14:textId="57E63DB0" w:rsidR="001E7471" w:rsidRDefault="009A070E" w:rsidP="00830DD1">
    <w:r>
      <w:rPr>
        <w:noProof/>
      </w:rPr>
      <w:drawing>
        <wp:anchor distT="0" distB="0" distL="114300" distR="114300" simplePos="0" relativeHeight="251669504" behindDoc="1" locked="0" layoutInCell="1" allowOverlap="1" wp14:anchorId="36D95BBC" wp14:editId="7B92695C">
          <wp:simplePos x="0" y="0"/>
          <wp:positionH relativeFrom="column">
            <wp:posOffset>1009650</wp:posOffset>
          </wp:positionH>
          <wp:positionV relativeFrom="paragraph">
            <wp:posOffset>-735965</wp:posOffset>
          </wp:positionV>
          <wp:extent cx="3286125" cy="752475"/>
          <wp:effectExtent l="0" t="0" r="9525" b="9525"/>
          <wp:wrapTight wrapText="bothSides">
            <wp:wrapPolygon edited="0">
              <wp:start x="0" y="1641"/>
              <wp:lineTo x="0" y="21327"/>
              <wp:lineTo x="21537" y="21327"/>
              <wp:lineTo x="21537" y="1641"/>
              <wp:lineTo x="0" y="1641"/>
            </wp:wrapPolygon>
          </wp:wrapTight>
          <wp:docPr id="4" name="Picture 4"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r="41327" b="21831"/>
                  <a:stretch/>
                </pic:blipFill>
                <pic:spPr bwMode="auto">
                  <a:xfrm>
                    <a:off x="0" y="0"/>
                    <a:ext cx="3286125"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F0F" w:rsidRPr="00066208">
      <w:rPr>
        <w:noProof/>
      </w:rPr>
      <w:drawing>
        <wp:anchor distT="0" distB="0" distL="114300" distR="114300" simplePos="0" relativeHeight="251663360" behindDoc="0" locked="0" layoutInCell="1" allowOverlap="1" wp14:anchorId="4F8EFB57" wp14:editId="11D292F7">
          <wp:simplePos x="0" y="0"/>
          <wp:positionH relativeFrom="column">
            <wp:posOffset>-2602230</wp:posOffset>
          </wp:positionH>
          <wp:positionV relativeFrom="paragraph">
            <wp:posOffset>-2204720</wp:posOffset>
          </wp:positionV>
          <wp:extent cx="4860925" cy="2012315"/>
          <wp:effectExtent l="0" t="88900" r="28575" b="19685"/>
          <wp:wrapNone/>
          <wp:docPr id="1582254779" name="Picture 3" descr="Ico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l="4514" t="31210" r="4907" b="31284"/>
                  <a:stretch>
                    <a:fillRect/>
                  </a:stretch>
                </pic:blipFill>
                <pic:spPr bwMode="auto">
                  <a:xfrm rot="173528" flipH="1" flipV="1">
                    <a:off x="0" y="0"/>
                    <a:ext cx="4860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F0F" w:rsidRPr="00066208">
      <w:rPr>
        <w:noProof/>
      </w:rPr>
      <w:drawing>
        <wp:anchor distT="0" distB="0" distL="114300" distR="114300" simplePos="0" relativeHeight="251664384" behindDoc="0" locked="0" layoutInCell="1" allowOverlap="1" wp14:anchorId="182B012E" wp14:editId="1AF8AC6C">
          <wp:simplePos x="0" y="0"/>
          <wp:positionH relativeFrom="margin">
            <wp:posOffset>5200015</wp:posOffset>
          </wp:positionH>
          <wp:positionV relativeFrom="margin">
            <wp:posOffset>-1287080</wp:posOffset>
          </wp:positionV>
          <wp:extent cx="1368000" cy="910935"/>
          <wp:effectExtent l="0" t="0" r="0" b="0"/>
          <wp:wrapNone/>
          <wp:docPr id="1092075040"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8000" cy="910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3A"/>
    <w:multiLevelType w:val="hybridMultilevel"/>
    <w:tmpl w:val="F78E9F22"/>
    <w:lvl w:ilvl="0" w:tplc="536E317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D61B61"/>
    <w:multiLevelType w:val="hybridMultilevel"/>
    <w:tmpl w:val="036A5B08"/>
    <w:lvl w:ilvl="0" w:tplc="914C734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444C17"/>
    <w:multiLevelType w:val="hybridMultilevel"/>
    <w:tmpl w:val="91B40D4C"/>
    <w:lvl w:ilvl="0" w:tplc="914C734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673C42"/>
    <w:multiLevelType w:val="hybridMultilevel"/>
    <w:tmpl w:val="EF0A0C02"/>
    <w:lvl w:ilvl="0" w:tplc="914C734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8533AA1"/>
    <w:multiLevelType w:val="hybridMultilevel"/>
    <w:tmpl w:val="01B01BDA"/>
    <w:lvl w:ilvl="0" w:tplc="914C734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95450757">
    <w:abstractNumId w:val="0"/>
  </w:num>
  <w:num w:numId="2" w16cid:durableId="1449355602">
    <w:abstractNumId w:val="2"/>
  </w:num>
  <w:num w:numId="3" w16cid:durableId="82260218">
    <w:abstractNumId w:val="1"/>
  </w:num>
  <w:num w:numId="4" w16cid:durableId="643312293">
    <w:abstractNumId w:val="3"/>
  </w:num>
  <w:num w:numId="5" w16cid:durableId="1907375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E5"/>
    <w:rsid w:val="00012DC1"/>
    <w:rsid w:val="00032FE7"/>
    <w:rsid w:val="0005750F"/>
    <w:rsid w:val="00066208"/>
    <w:rsid w:val="00074151"/>
    <w:rsid w:val="000B66C9"/>
    <w:rsid w:val="000C39B0"/>
    <w:rsid w:val="000E484B"/>
    <w:rsid w:val="000F5190"/>
    <w:rsid w:val="001055C7"/>
    <w:rsid w:val="0013300C"/>
    <w:rsid w:val="00133B95"/>
    <w:rsid w:val="00160BA2"/>
    <w:rsid w:val="001E7471"/>
    <w:rsid w:val="001F59E5"/>
    <w:rsid w:val="00203F5B"/>
    <w:rsid w:val="00252990"/>
    <w:rsid w:val="00260DE2"/>
    <w:rsid w:val="002D7C67"/>
    <w:rsid w:val="002F0AF0"/>
    <w:rsid w:val="00302B41"/>
    <w:rsid w:val="00303836"/>
    <w:rsid w:val="003212DF"/>
    <w:rsid w:val="00331E14"/>
    <w:rsid w:val="003D45D7"/>
    <w:rsid w:val="004142A1"/>
    <w:rsid w:val="00440D6B"/>
    <w:rsid w:val="004467F1"/>
    <w:rsid w:val="00452C45"/>
    <w:rsid w:val="004826C9"/>
    <w:rsid w:val="00490CEF"/>
    <w:rsid w:val="004A79D0"/>
    <w:rsid w:val="004C6FD8"/>
    <w:rsid w:val="004F3930"/>
    <w:rsid w:val="005651AF"/>
    <w:rsid w:val="005866B6"/>
    <w:rsid w:val="005A0ED0"/>
    <w:rsid w:val="005A3BB9"/>
    <w:rsid w:val="00676A9D"/>
    <w:rsid w:val="00680E38"/>
    <w:rsid w:val="00693A9A"/>
    <w:rsid w:val="006A193C"/>
    <w:rsid w:val="006B21A9"/>
    <w:rsid w:val="006D090A"/>
    <w:rsid w:val="006F2915"/>
    <w:rsid w:val="007316E4"/>
    <w:rsid w:val="00750666"/>
    <w:rsid w:val="007651F0"/>
    <w:rsid w:val="00783130"/>
    <w:rsid w:val="00784CCE"/>
    <w:rsid w:val="007A4CCC"/>
    <w:rsid w:val="007C24F8"/>
    <w:rsid w:val="00830DD1"/>
    <w:rsid w:val="00851275"/>
    <w:rsid w:val="008F19E3"/>
    <w:rsid w:val="00914E76"/>
    <w:rsid w:val="009263B9"/>
    <w:rsid w:val="00952957"/>
    <w:rsid w:val="009718A1"/>
    <w:rsid w:val="00984F8D"/>
    <w:rsid w:val="00991F34"/>
    <w:rsid w:val="009954BC"/>
    <w:rsid w:val="00997F58"/>
    <w:rsid w:val="009A070E"/>
    <w:rsid w:val="009B0A4F"/>
    <w:rsid w:val="00A04213"/>
    <w:rsid w:val="00A36377"/>
    <w:rsid w:val="00A62C19"/>
    <w:rsid w:val="00A746CE"/>
    <w:rsid w:val="00AB430C"/>
    <w:rsid w:val="00B44905"/>
    <w:rsid w:val="00B60877"/>
    <w:rsid w:val="00B766D1"/>
    <w:rsid w:val="00BB1708"/>
    <w:rsid w:val="00BC21C8"/>
    <w:rsid w:val="00BE2294"/>
    <w:rsid w:val="00C006D2"/>
    <w:rsid w:val="00C252FC"/>
    <w:rsid w:val="00C8009B"/>
    <w:rsid w:val="00C84FE4"/>
    <w:rsid w:val="00C93765"/>
    <w:rsid w:val="00D75488"/>
    <w:rsid w:val="00E02F6C"/>
    <w:rsid w:val="00E03AAF"/>
    <w:rsid w:val="00E55735"/>
    <w:rsid w:val="00E60F88"/>
    <w:rsid w:val="00EA2B91"/>
    <w:rsid w:val="00EB609F"/>
    <w:rsid w:val="00ED2F0F"/>
    <w:rsid w:val="00EF4F57"/>
    <w:rsid w:val="00F03278"/>
    <w:rsid w:val="00F35453"/>
    <w:rsid w:val="00F6092E"/>
    <w:rsid w:val="00F83C8F"/>
    <w:rsid w:val="00FC1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7CD9"/>
  <w15:chartTrackingRefBased/>
  <w15:docId w15:val="{6101E068-DB5C-4AE0-BE37-58A3B925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D1"/>
    <w:pPr>
      <w:spacing w:after="120" w:line="240" w:lineRule="auto"/>
    </w:pPr>
  </w:style>
  <w:style w:type="paragraph" w:styleId="Heading1">
    <w:name w:val="heading 1"/>
    <w:basedOn w:val="Normal"/>
    <w:next w:val="Normal"/>
    <w:link w:val="Heading1Char"/>
    <w:uiPriority w:val="9"/>
    <w:rsid w:val="00914E76"/>
    <w:pPr>
      <w:keepNext/>
      <w:keepLines/>
      <w:outlineLvl w:val="0"/>
    </w:pPr>
    <w:rPr>
      <w:rFonts w:eastAsiaTheme="majorEastAsia" w:cstheme="minorHAnsi"/>
      <w:color w:val="003D69"/>
      <w:sz w:val="36"/>
      <w:szCs w:val="32"/>
    </w:rPr>
  </w:style>
  <w:style w:type="paragraph" w:styleId="Heading2">
    <w:name w:val="heading 2"/>
    <w:basedOn w:val="Normal"/>
    <w:next w:val="Normal"/>
    <w:link w:val="Heading2Char"/>
    <w:uiPriority w:val="9"/>
    <w:semiHidden/>
    <w:unhideWhenUsed/>
    <w:qFormat/>
    <w:rsid w:val="00012DC1"/>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12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4826C9"/>
    <w:rPr>
      <w:color w:val="5A5A5A" w:themeColor="text1" w:themeTint="A5"/>
      <w:sz w:val="22"/>
    </w:rPr>
  </w:style>
  <w:style w:type="paragraph" w:styleId="ListParagraph">
    <w:name w:val="List Paragraph"/>
    <w:basedOn w:val="Normal"/>
    <w:uiPriority w:val="34"/>
    <w:qFormat/>
    <w:rsid w:val="006F2915"/>
    <w:pPr>
      <w:numPr>
        <w:numId w:val="1"/>
      </w:numPr>
      <w:ind w:left="426" w:hanging="284"/>
      <w:contextualSpacing/>
    </w:pPr>
    <w:rPr>
      <w:lang w:val="en-GB" w:eastAsia="en-GB"/>
    </w:rPr>
  </w:style>
  <w:style w:type="paragraph" w:styleId="NoSpacing">
    <w:name w:val="No Spacing"/>
    <w:uiPriority w:val="3"/>
    <w:qFormat/>
    <w:rsid w:val="00203F5B"/>
    <w:pPr>
      <w:spacing w:after="0" w:line="240" w:lineRule="auto"/>
    </w:pPr>
  </w:style>
  <w:style w:type="paragraph" w:styleId="Subtitle">
    <w:name w:val="Subtitle"/>
    <w:basedOn w:val="Normal"/>
    <w:next w:val="Normal"/>
    <w:link w:val="SubtitleChar"/>
    <w:uiPriority w:val="11"/>
    <w:qFormat/>
    <w:rsid w:val="009263B9"/>
    <w:pPr>
      <w:numPr>
        <w:ilvl w:val="1"/>
      </w:numPr>
    </w:pPr>
    <w:rPr>
      <w:rFonts w:eastAsiaTheme="minorEastAsia"/>
      <w:color w:val="119196"/>
    </w:rPr>
  </w:style>
  <w:style w:type="paragraph" w:customStyle="1" w:styleId="SubHeading">
    <w:name w:val="Sub Heading"/>
    <w:basedOn w:val="Normal"/>
    <w:qFormat/>
    <w:rsid w:val="006F2915"/>
    <w:rPr>
      <w:rFonts w:ascii="Calibri" w:eastAsia="Calibri" w:hAnsi="Calibri" w:cs="Times New Roman"/>
      <w:b/>
      <w:color w:val="119196"/>
      <w:sz w:val="24"/>
    </w:rPr>
  </w:style>
  <w:style w:type="character" w:styleId="IntenseReference">
    <w:name w:val="Intense Reference"/>
    <w:basedOn w:val="SubtleReference"/>
    <w:uiPriority w:val="32"/>
    <w:rsid w:val="00A62C19"/>
    <w:rPr>
      <w:b/>
      <w:bCs/>
      <w:color w:val="0C5AA9"/>
      <w:spacing w:val="5"/>
      <w:sz w:val="22"/>
    </w:rPr>
  </w:style>
  <w:style w:type="character" w:customStyle="1" w:styleId="Heading1Char">
    <w:name w:val="Heading 1 Char"/>
    <w:basedOn w:val="DefaultParagraphFont"/>
    <w:link w:val="Heading1"/>
    <w:uiPriority w:val="9"/>
    <w:rsid w:val="00914E76"/>
    <w:rPr>
      <w:rFonts w:eastAsiaTheme="majorEastAsia" w:cstheme="minorHAnsi"/>
      <w:color w:val="003D69"/>
      <w:sz w:val="36"/>
      <w:szCs w:val="32"/>
    </w:rPr>
  </w:style>
  <w:style w:type="character" w:customStyle="1" w:styleId="Heading2Char">
    <w:name w:val="Heading 2 Char"/>
    <w:basedOn w:val="DefaultParagraphFont"/>
    <w:link w:val="Heading2"/>
    <w:uiPriority w:val="9"/>
    <w:semiHidden/>
    <w:rsid w:val="00012DC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6F2915"/>
    <w:pPr>
      <w:spacing w:after="0"/>
    </w:pPr>
    <w:rPr>
      <w:rFonts w:eastAsiaTheme="majorEastAsia" w:cstheme="majorBidi"/>
      <w:color w:val="003D69"/>
      <w:spacing w:val="-10"/>
      <w:kern w:val="28"/>
      <w:sz w:val="48"/>
      <w:szCs w:val="56"/>
    </w:rPr>
  </w:style>
  <w:style w:type="character" w:customStyle="1" w:styleId="TitleChar">
    <w:name w:val="Title Char"/>
    <w:basedOn w:val="DefaultParagraphFont"/>
    <w:link w:val="Title"/>
    <w:uiPriority w:val="10"/>
    <w:rsid w:val="006F2915"/>
    <w:rPr>
      <w:rFonts w:eastAsiaTheme="majorEastAsia" w:cstheme="majorBidi"/>
      <w:color w:val="003D69"/>
      <w:spacing w:val="-10"/>
      <w:kern w:val="28"/>
      <w:sz w:val="48"/>
      <w:szCs w:val="56"/>
    </w:rPr>
  </w:style>
  <w:style w:type="character" w:customStyle="1" w:styleId="SubtitleChar">
    <w:name w:val="Subtitle Char"/>
    <w:basedOn w:val="DefaultParagraphFont"/>
    <w:link w:val="Subtitle"/>
    <w:uiPriority w:val="11"/>
    <w:rsid w:val="009263B9"/>
    <w:rPr>
      <w:rFonts w:eastAsiaTheme="minorEastAsia"/>
      <w:color w:val="119196"/>
    </w:rPr>
  </w:style>
  <w:style w:type="character" w:styleId="SubtleEmphasis">
    <w:name w:val="Subtle Emphasis"/>
    <w:basedOn w:val="DefaultParagraphFont"/>
    <w:uiPriority w:val="19"/>
    <w:qFormat/>
    <w:rsid w:val="00203F5B"/>
    <w:rPr>
      <w:rFonts w:asciiTheme="minorHAnsi" w:hAnsiTheme="minorHAnsi"/>
      <w:i/>
      <w:iCs/>
      <w:color w:val="A6A6A6" w:themeColor="background1" w:themeShade="A6"/>
      <w:sz w:val="22"/>
    </w:rPr>
  </w:style>
  <w:style w:type="character" w:styleId="Emphasis">
    <w:name w:val="Emphasis"/>
    <w:basedOn w:val="SubtleReference"/>
    <w:uiPriority w:val="20"/>
    <w:qFormat/>
    <w:rsid w:val="00A62C19"/>
    <w:rPr>
      <w:rFonts w:ascii="Calibri" w:hAnsi="Calibri"/>
      <w:i/>
      <w:iCs/>
      <w:caps/>
      <w:color w:val="7F7F7F" w:themeColor="text1" w:themeTint="80"/>
      <w:sz w:val="22"/>
    </w:rPr>
  </w:style>
  <w:style w:type="character" w:styleId="Strong">
    <w:name w:val="Strong"/>
    <w:basedOn w:val="DefaultParagraphFont"/>
    <w:uiPriority w:val="22"/>
    <w:qFormat/>
    <w:rsid w:val="00302B41"/>
    <w:rPr>
      <w:b/>
      <w:bCs/>
    </w:rPr>
  </w:style>
  <w:style w:type="paragraph" w:styleId="Quote">
    <w:name w:val="Quote"/>
    <w:basedOn w:val="Normal"/>
    <w:next w:val="Normal"/>
    <w:link w:val="QuoteChar"/>
    <w:uiPriority w:val="29"/>
    <w:qFormat/>
    <w:rsid w:val="006F2915"/>
    <w:pPr>
      <w:spacing w:before="120"/>
      <w:ind w:left="862" w:right="862"/>
      <w:jc w:val="center"/>
    </w:pPr>
    <w:rPr>
      <w:i/>
      <w:iCs/>
      <w:color w:val="404040" w:themeColor="text1" w:themeTint="BF"/>
    </w:rPr>
  </w:style>
  <w:style w:type="character" w:customStyle="1" w:styleId="QuoteChar">
    <w:name w:val="Quote Char"/>
    <w:basedOn w:val="DefaultParagraphFont"/>
    <w:link w:val="Quote"/>
    <w:uiPriority w:val="29"/>
    <w:rsid w:val="006F2915"/>
    <w:rPr>
      <w:i/>
      <w:iCs/>
      <w:color w:val="404040" w:themeColor="text1" w:themeTint="BF"/>
    </w:rPr>
  </w:style>
  <w:style w:type="character" w:styleId="BookTitle">
    <w:name w:val="Book Title"/>
    <w:basedOn w:val="DefaultParagraphFont"/>
    <w:uiPriority w:val="33"/>
    <w:rsid w:val="00EF4F57"/>
    <w:rPr>
      <w:b/>
      <w:bCs/>
      <w:iCs/>
      <w:color w:val="003D69"/>
      <w:spacing w:val="5"/>
      <w:sz w:val="36"/>
    </w:rPr>
  </w:style>
  <w:style w:type="paragraph" w:styleId="IntenseQuote">
    <w:name w:val="Intense Quote"/>
    <w:basedOn w:val="Normal"/>
    <w:next w:val="Normal"/>
    <w:link w:val="IntenseQuoteChar"/>
    <w:uiPriority w:val="30"/>
    <w:qFormat/>
    <w:rsid w:val="00914E76"/>
    <w:pPr>
      <w:jc w:val="center"/>
    </w:pPr>
    <w:rPr>
      <w:b/>
    </w:rPr>
  </w:style>
  <w:style w:type="character" w:customStyle="1" w:styleId="IntenseQuoteChar">
    <w:name w:val="Intense Quote Char"/>
    <w:basedOn w:val="DefaultParagraphFont"/>
    <w:link w:val="IntenseQuote"/>
    <w:uiPriority w:val="30"/>
    <w:rsid w:val="00914E76"/>
    <w:rPr>
      <w:b/>
    </w:rPr>
  </w:style>
  <w:style w:type="paragraph" w:styleId="Header">
    <w:name w:val="header"/>
    <w:basedOn w:val="Normal"/>
    <w:link w:val="HeaderChar"/>
    <w:uiPriority w:val="99"/>
    <w:unhideWhenUsed/>
    <w:rsid w:val="007651F0"/>
    <w:pPr>
      <w:tabs>
        <w:tab w:val="center" w:pos="4513"/>
        <w:tab w:val="right" w:pos="9026"/>
      </w:tabs>
      <w:spacing w:after="0"/>
    </w:pPr>
  </w:style>
  <w:style w:type="character" w:customStyle="1" w:styleId="HeaderChar">
    <w:name w:val="Header Char"/>
    <w:basedOn w:val="DefaultParagraphFont"/>
    <w:link w:val="Header"/>
    <w:uiPriority w:val="99"/>
    <w:rsid w:val="007651F0"/>
  </w:style>
  <w:style w:type="paragraph" w:customStyle="1" w:styleId="Heading214pt">
    <w:name w:val="Heading 2 14pt"/>
    <w:qFormat/>
    <w:rsid w:val="005651AF"/>
    <w:pPr>
      <w:spacing w:after="120" w:line="240" w:lineRule="auto"/>
    </w:pPr>
    <w:rPr>
      <w:rFonts w:eastAsiaTheme="majorEastAsia" w:cstheme="minorHAnsi"/>
      <w:b/>
      <w:color w:val="119196"/>
      <w:sz w:val="28"/>
      <w:szCs w:val="32"/>
    </w:rPr>
  </w:style>
  <w:style w:type="paragraph" w:styleId="Footer">
    <w:name w:val="footer"/>
    <w:basedOn w:val="Normal"/>
    <w:link w:val="FooterChar"/>
    <w:uiPriority w:val="99"/>
    <w:unhideWhenUsed/>
    <w:rsid w:val="004826C9"/>
    <w:pPr>
      <w:tabs>
        <w:tab w:val="center" w:pos="4513"/>
        <w:tab w:val="right" w:pos="9026"/>
      </w:tabs>
      <w:spacing w:after="0"/>
    </w:pPr>
  </w:style>
  <w:style w:type="character" w:customStyle="1" w:styleId="FooterChar">
    <w:name w:val="Footer Char"/>
    <w:basedOn w:val="DefaultParagraphFont"/>
    <w:link w:val="Footer"/>
    <w:uiPriority w:val="99"/>
    <w:rsid w:val="004826C9"/>
  </w:style>
  <w:style w:type="character" w:customStyle="1" w:styleId="Heading3Char">
    <w:name w:val="Heading 3 Char"/>
    <w:basedOn w:val="DefaultParagraphFont"/>
    <w:link w:val="Heading3"/>
    <w:uiPriority w:val="9"/>
    <w:semiHidden/>
    <w:rsid w:val="003212D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40D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84F8D"/>
  </w:style>
  <w:style w:type="character" w:customStyle="1" w:styleId="eop">
    <w:name w:val="eop"/>
    <w:basedOn w:val="DefaultParagraphFont"/>
    <w:rsid w:val="0098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1E29D121D80C4BBECF235735D69F32" ma:contentTypeVersion="15" ma:contentTypeDescription="Create a new document." ma:contentTypeScope="" ma:versionID="df046c476becf35f67c8010fe41db667">
  <xsd:schema xmlns:xsd="http://www.w3.org/2001/XMLSchema" xmlns:xs="http://www.w3.org/2001/XMLSchema" xmlns:p="http://schemas.microsoft.com/office/2006/metadata/properties" xmlns:ns2="b7a56291-0b4a-447c-85b9-bfd699d2226a" xmlns:ns3="8eb26df0-dd73-4708-861c-8470f8b48029" xmlns:ns4="83a01765-13e1-4ce6-b466-9831b4e46165" targetNamespace="http://schemas.microsoft.com/office/2006/metadata/properties" ma:root="true" ma:fieldsID="5802ff57a060545d129b9f34a4acdc2d" ns2:_="" ns3:_="" ns4:_="">
    <xsd:import namespace="b7a56291-0b4a-447c-85b9-bfd699d2226a"/>
    <xsd:import namespace="8eb26df0-dd73-4708-861c-8470f8b48029"/>
    <xsd:import namespace="83a01765-13e1-4ce6-b466-9831b4e46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6291-0b4a-447c-85b9-bfd699d22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26df0-dd73-4708-861c-8470f8b4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224094-da06-4be7-91d9-4602b7740077}" ma:internalName="TaxCatchAll" ma:showField="CatchAllData" ma:web="8eb26df0-dd73-4708-861c-8470f8b4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a01765-13e1-4ce6-b466-9831b4e46165" xsi:nil="true"/>
    <lcf76f155ced4ddcb4097134ff3c332f xmlns="b7a56291-0b4a-447c-85b9-bfd699d222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ECBE2-3123-470F-91F6-68261F87B007}">
  <ds:schemaRefs>
    <ds:schemaRef ds:uri="http://schemas.openxmlformats.org/officeDocument/2006/bibliography"/>
  </ds:schemaRefs>
</ds:datastoreItem>
</file>

<file path=customXml/itemProps2.xml><?xml version="1.0" encoding="utf-8"?>
<ds:datastoreItem xmlns:ds="http://schemas.openxmlformats.org/officeDocument/2006/customXml" ds:itemID="{6728A5AC-9A23-466B-AA06-8FCE8C62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6291-0b4a-447c-85b9-bfd699d2226a"/>
    <ds:schemaRef ds:uri="8eb26df0-dd73-4708-861c-8470f8b48029"/>
    <ds:schemaRef ds:uri="83a01765-13e1-4ce6-b466-9831b4e4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5D069-A3E9-4355-9A73-AEA2D59BB7CB}">
  <ds:schemaRefs>
    <ds:schemaRef ds:uri="http://schemas.microsoft.com/sharepoint/v3/contenttype/forms"/>
  </ds:schemaRefs>
</ds:datastoreItem>
</file>

<file path=customXml/itemProps4.xml><?xml version="1.0" encoding="utf-8"?>
<ds:datastoreItem xmlns:ds="http://schemas.openxmlformats.org/officeDocument/2006/customXml" ds:itemID="{22944308-2FED-426E-B0F2-2FC7FC3CA0F6}">
  <ds:schemaRefs>
    <ds:schemaRef ds:uri="http://schemas.microsoft.com/office/2006/metadata/properties"/>
    <ds:schemaRef ds:uri="http://schemas.microsoft.com/office/infopath/2007/PartnerControls"/>
    <ds:schemaRef ds:uri="83a01765-13e1-4ce6-b466-9831b4e46165"/>
    <ds:schemaRef ds:uri="b7a56291-0b4a-447c-85b9-bfd699d2226a"/>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Letterhead</vt:lpstr>
    </vt:vector>
  </TitlesOfParts>
  <Company>BSPHN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Sue Battis</dc:creator>
  <cp:keywords/>
  <dc:description/>
  <cp:lastModifiedBy>Liam Potts</cp:lastModifiedBy>
  <cp:revision>2</cp:revision>
  <dcterms:created xsi:type="dcterms:W3CDTF">2025-07-10T06:01:00Z</dcterms:created>
  <dcterms:modified xsi:type="dcterms:W3CDTF">2025-07-10T06:01:00Z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0x010100901E29D121D80C4BBECF235735D69F32</vt:lpwstr>
  </property>
  <property fmtid="{D5CDD505-2E9C-101B-9397-08002B2CF9AE}" pid="3" name="Current Version">
    <vt:lpwstr>v1.2</vt:lpwstr>
  </property>
  <property fmtid="{D5CDD505-2E9C-101B-9397-08002B2CF9AE}" pid="4" name="File Status">
    <vt:lpwstr/>
  </property>
  <property fmtid="{D5CDD505-2E9C-101B-9397-08002B2CF9AE}" pid="5" name="Content1">
    <vt:lpwstr/>
  </property>
  <property fmtid="{D5CDD505-2E9C-101B-9397-08002B2CF9AE}" pid="6" name="Classification">
    <vt:lpwstr/>
  </property>
  <property fmtid="{D5CDD505-2E9C-101B-9397-08002B2CF9AE}" pid="7" name="DocumentType">
    <vt:lpwstr>9;#Template|76d7c70c-2b80-4ae7-9a68-d15bae496083</vt:lpwstr>
  </property>
  <property fmtid="{D5CDD505-2E9C-101B-9397-08002B2CF9AE}" pid="8" name="ResourceArea">
    <vt:lpwstr>14;#Operations and processes|200fc8fc-3668-4f7d-bd17-04b0c51fad67</vt:lpwstr>
  </property>
  <property fmtid="{D5CDD505-2E9C-101B-9397-08002B2CF9AE}" pid="9" name="_ExtendedDescription">
    <vt:lpwstr/>
  </property>
  <property fmtid="{D5CDD505-2E9C-101B-9397-08002B2CF9AE}" pid="10" name="TriggerFlowInfo">
    <vt:lpwstr/>
  </property>
  <property fmtid="{D5CDD505-2E9C-101B-9397-08002B2CF9AE}" pid="11" name="Library">
    <vt:lpwstr/>
  </property>
  <property fmtid="{D5CDD505-2E9C-101B-9397-08002B2CF9AE}" pid="12" name="DocumentID">
    <vt:lpwstr>OAPFOR0011</vt:lpwstr>
  </property>
  <property fmtid="{D5CDD505-2E9C-101B-9397-08002B2CF9AE}" pid="13" name="Archive">
    <vt:lpwstr>No</vt:lpwstr>
  </property>
  <property fmtid="{D5CDD505-2E9C-101B-9397-08002B2CF9AE}" pid="14" name="ReviewDate">
    <vt:filetime>2024-03-18T14:00:00Z</vt:filetime>
  </property>
  <property fmtid="{D5CDD505-2E9C-101B-9397-08002B2CF9AE}" pid="15" name="DocumentApprover">
    <vt:lpwstr>Stakeholder Engagement and Communications</vt:lpwstr>
  </property>
  <property fmtid="{D5CDD505-2E9C-101B-9397-08002B2CF9AE}" pid="16" name="Published to Resource Centre">
    <vt:bool>false</vt:bool>
  </property>
  <property fmtid="{D5CDD505-2E9C-101B-9397-08002B2CF9AE}" pid="17" name="Last Reviewed">
    <vt:filetime>2021-10-12T07:58:17Z</vt:filetime>
  </property>
  <property fmtid="{D5CDD505-2E9C-101B-9397-08002B2CF9AE}" pid="18" name="MediaServiceImageTags">
    <vt:lpwstr/>
  </property>
</Properties>
</file>